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A4F0CC" w14:textId="0E777D11" w:rsidR="00E77019" w:rsidRDefault="00E86877">
      <w:pPr>
        <w:ind w:left="-284" w:right="-292"/>
        <w:rPr>
          <w:rStyle w:val="Nessuno"/>
          <w:i/>
          <w:iCs/>
        </w:rPr>
      </w:pPr>
      <w:r w:rsidRPr="00E86877">
        <w:rPr>
          <w:rFonts w:eastAsia="Times New Roman" w:cs="Times New Roman"/>
          <w:b/>
          <w:noProof/>
          <w:color w:val="auto"/>
          <w:sz w:val="20"/>
          <w:szCs w:val="20"/>
          <w:bdr w:val="none" w:sz="0" w:space="0" w:color="auto"/>
          <w:lang w:val="it-IT"/>
        </w:rPr>
        <w:drawing>
          <wp:anchor distT="0" distB="0" distL="114300" distR="114300" simplePos="0" relativeHeight="251658240" behindDoc="1" locked="0" layoutInCell="1" allowOverlap="1" wp14:anchorId="4D5DD5D0" wp14:editId="74F9AB79">
            <wp:simplePos x="0" y="0"/>
            <wp:positionH relativeFrom="column">
              <wp:posOffset>2035175</wp:posOffset>
            </wp:positionH>
            <wp:positionV relativeFrom="paragraph">
              <wp:posOffset>91440</wp:posOffset>
            </wp:positionV>
            <wp:extent cx="1664970" cy="573405"/>
            <wp:effectExtent l="0" t="0" r="0" b="0"/>
            <wp:wrapNone/>
            <wp:docPr id="9" name="Immagine 9" descr="LOGO ITAB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LOGO ITABIA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4970" cy="5734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86877">
        <w:rPr>
          <w:rFonts w:eastAsia="Times New Roman" w:cs="Times New Roman"/>
          <w:b/>
          <w:noProof/>
          <w:color w:val="auto"/>
          <w:sz w:val="20"/>
          <w:szCs w:val="20"/>
          <w:bdr w:val="none" w:sz="0" w:space="0" w:color="auto"/>
          <w:lang w:val="it-IT"/>
        </w:rPr>
        <w:drawing>
          <wp:anchor distT="0" distB="0" distL="114300" distR="114300" simplePos="0" relativeHeight="251659264" behindDoc="0" locked="0" layoutInCell="1" allowOverlap="1" wp14:anchorId="3CF1EFCA" wp14:editId="2C874139">
            <wp:simplePos x="0" y="0"/>
            <wp:positionH relativeFrom="margin">
              <wp:align>left</wp:align>
            </wp:positionH>
            <wp:positionV relativeFrom="paragraph">
              <wp:posOffset>34290</wp:posOffset>
            </wp:positionV>
            <wp:extent cx="1412240" cy="614045"/>
            <wp:effectExtent l="0" t="0" r="0" b="0"/>
            <wp:wrapNone/>
            <wp:docPr id="5" name="Immagine 1" descr="cid:image001.png@01D39C4E.90C220E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1.png@01D39C4E.90C220E0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2240" cy="6140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075F879" w14:textId="426DEF05" w:rsidR="00E86877" w:rsidRDefault="00E86877" w:rsidP="00E86877">
      <w:pPr>
        <w:ind w:left="-284" w:right="567"/>
        <w:rPr>
          <w:rFonts w:cs="Times New Roman"/>
          <w:i/>
          <w:lang w:val="fr-FR"/>
        </w:rPr>
      </w:pPr>
    </w:p>
    <w:p w14:paraId="2D42AD62" w14:textId="7B523BC8" w:rsidR="00E86877" w:rsidRDefault="00E86877" w:rsidP="00E86877">
      <w:pPr>
        <w:tabs>
          <w:tab w:val="left" w:pos="5595"/>
        </w:tabs>
        <w:ind w:left="-284" w:right="567"/>
        <w:rPr>
          <w:rFonts w:cs="Times New Roman"/>
          <w:i/>
          <w:lang w:val="fr-FR"/>
        </w:rPr>
      </w:pPr>
      <w:r>
        <w:rPr>
          <w:rFonts w:cs="Times New Roman"/>
          <w:i/>
          <w:lang w:val="fr-FR"/>
        </w:rPr>
        <w:tab/>
      </w:r>
    </w:p>
    <w:p w14:paraId="5CD2C566" w14:textId="77777777" w:rsidR="00E86877" w:rsidRDefault="00E86877" w:rsidP="00E86877">
      <w:pPr>
        <w:ind w:left="-284" w:right="567"/>
        <w:rPr>
          <w:rFonts w:cs="Times New Roman"/>
          <w:i/>
          <w:lang w:val="fr-FR"/>
        </w:rPr>
      </w:pPr>
    </w:p>
    <w:p w14:paraId="6C0E4AA3" w14:textId="77777777" w:rsidR="00E86877" w:rsidRDefault="00E86877" w:rsidP="00E86877">
      <w:pPr>
        <w:ind w:left="-284" w:right="567"/>
        <w:rPr>
          <w:rFonts w:cs="Times New Roman"/>
          <w:i/>
          <w:lang w:val="fr-FR"/>
        </w:rPr>
      </w:pPr>
    </w:p>
    <w:p w14:paraId="38B67403" w14:textId="0C657AD7" w:rsidR="00E77019" w:rsidRDefault="00B57CAD" w:rsidP="00E86877">
      <w:pPr>
        <w:ind w:left="-284" w:right="567"/>
        <w:rPr>
          <w:rFonts w:cs="Times New Roman"/>
          <w:i/>
          <w:lang w:val="fr-FR"/>
        </w:rPr>
      </w:pPr>
      <w:proofErr w:type="spellStart"/>
      <w:r>
        <w:rPr>
          <w:rFonts w:cs="Times New Roman"/>
          <w:i/>
          <w:lang w:val="fr-FR"/>
        </w:rPr>
        <w:t>Comunicato</w:t>
      </w:r>
      <w:proofErr w:type="spellEnd"/>
      <w:r>
        <w:rPr>
          <w:rFonts w:cs="Times New Roman"/>
          <w:i/>
          <w:lang w:val="fr-FR"/>
        </w:rPr>
        <w:t xml:space="preserve"> stampa </w:t>
      </w:r>
      <w:r w:rsidR="00497C4D" w:rsidRPr="00A06A35">
        <w:rPr>
          <w:rFonts w:cs="Times New Roman"/>
          <w:i/>
          <w:lang w:val="fr-FR"/>
        </w:rPr>
        <w:t>n.</w:t>
      </w:r>
      <w:r>
        <w:rPr>
          <w:rFonts w:cs="Times New Roman"/>
          <w:i/>
          <w:lang w:val="fr-FR"/>
        </w:rPr>
        <w:t> </w:t>
      </w:r>
      <w:r w:rsidR="00CB2AFD">
        <w:rPr>
          <w:rFonts w:cs="Times New Roman"/>
          <w:i/>
          <w:lang w:val="fr-FR"/>
        </w:rPr>
        <w:t>3</w:t>
      </w:r>
      <w:r w:rsidR="00E86877">
        <w:rPr>
          <w:rFonts w:cs="Times New Roman"/>
          <w:i/>
          <w:lang w:val="fr-FR"/>
        </w:rPr>
        <w:t>5</w:t>
      </w:r>
    </w:p>
    <w:p w14:paraId="57FD152C" w14:textId="77777777" w:rsidR="00A63A04" w:rsidRPr="00A63A04" w:rsidRDefault="00A63A04" w:rsidP="00E86877">
      <w:pPr>
        <w:tabs>
          <w:tab w:val="left" w:pos="7655"/>
        </w:tabs>
        <w:ind w:left="-284" w:right="567"/>
        <w:jc w:val="both"/>
        <w:rPr>
          <w:rFonts w:eastAsia="MS Mincho" w:cs="Times New Roman"/>
          <w:b/>
          <w:i/>
          <w:color w:val="auto"/>
          <w:sz w:val="28"/>
          <w:szCs w:val="28"/>
          <w:bdr w:val="none" w:sz="0" w:space="0" w:color="auto"/>
          <w:lang w:val="fr-FR"/>
        </w:rPr>
      </w:pPr>
    </w:p>
    <w:p w14:paraId="17CB989C" w14:textId="10FAFF94" w:rsidR="00E86877" w:rsidRPr="00E86877" w:rsidRDefault="00E86877" w:rsidP="00E8687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ind w:left="-284" w:right="567"/>
        <w:jc w:val="both"/>
        <w:rPr>
          <w:rFonts w:eastAsia="Times New Roman" w:cs="Times New Roman"/>
          <w:b/>
          <w:color w:val="auto"/>
          <w:bdr w:val="none" w:sz="0" w:space="0" w:color="auto"/>
          <w:lang w:val="it-IT" w:eastAsia="ar-SA"/>
        </w:rPr>
      </w:pPr>
      <w:r w:rsidRPr="00E86877">
        <w:rPr>
          <w:rFonts w:eastAsia="Times New Roman" w:cs="Times New Roman"/>
          <w:b/>
          <w:color w:val="auto"/>
          <w:bdr w:val="none" w:sz="0" w:space="0" w:color="auto"/>
          <w:lang w:val="it-IT" w:eastAsia="ar-SA"/>
        </w:rPr>
        <w:t>EDP, focus sulle bioenergie</w:t>
      </w:r>
    </w:p>
    <w:p w14:paraId="78AA677E" w14:textId="77777777" w:rsidR="00E86877" w:rsidRPr="00E86877" w:rsidRDefault="00E86877" w:rsidP="00E8687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ind w:left="-284" w:right="567"/>
        <w:jc w:val="both"/>
        <w:rPr>
          <w:rFonts w:eastAsia="Times New Roman" w:cs="Times New Roman"/>
          <w:color w:val="auto"/>
          <w:bdr w:val="none" w:sz="0" w:space="0" w:color="auto"/>
          <w:lang w:val="it-IT" w:eastAsia="ar-SA"/>
        </w:rPr>
      </w:pPr>
    </w:p>
    <w:p w14:paraId="3C515046" w14:textId="77777777" w:rsidR="00E86877" w:rsidRPr="00E86877" w:rsidRDefault="00E86877" w:rsidP="00E8687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ind w:left="-284" w:right="567"/>
        <w:jc w:val="both"/>
        <w:rPr>
          <w:rFonts w:eastAsia="Times New Roman" w:cs="Times New Roman"/>
          <w:b/>
          <w:i/>
          <w:iCs/>
          <w:color w:val="auto"/>
          <w:bdr w:val="none" w:sz="0" w:space="0" w:color="auto"/>
          <w:lang w:val="it-IT" w:eastAsia="ar-SA"/>
        </w:rPr>
      </w:pPr>
      <w:r w:rsidRPr="00E86877">
        <w:rPr>
          <w:rFonts w:eastAsia="Times New Roman" w:cs="Times New Roman"/>
          <w:b/>
          <w:i/>
          <w:iCs/>
          <w:color w:val="auto"/>
          <w:bdr w:val="none" w:sz="0" w:space="0" w:color="auto"/>
          <w:lang w:val="it-IT" w:eastAsia="ar-SA"/>
        </w:rPr>
        <w:t xml:space="preserve">Di grande rilievo ad EIMA Digital Preview (EDP) le iniziative calendarizzate da FederUnacoma e </w:t>
      </w:r>
      <w:proofErr w:type="spellStart"/>
      <w:r w:rsidRPr="00E86877">
        <w:rPr>
          <w:rFonts w:eastAsia="Times New Roman" w:cs="Times New Roman"/>
          <w:b/>
          <w:i/>
          <w:iCs/>
          <w:color w:val="auto"/>
          <w:bdr w:val="none" w:sz="0" w:space="0" w:color="auto"/>
          <w:lang w:val="it-IT" w:eastAsia="ar-SA"/>
        </w:rPr>
        <w:t>Itabia</w:t>
      </w:r>
      <w:proofErr w:type="spellEnd"/>
      <w:r w:rsidRPr="00E86877">
        <w:rPr>
          <w:rFonts w:eastAsia="Times New Roman" w:cs="Times New Roman"/>
          <w:b/>
          <w:i/>
          <w:iCs/>
          <w:color w:val="auto"/>
          <w:bdr w:val="none" w:sz="0" w:space="0" w:color="auto"/>
          <w:lang w:val="it-IT" w:eastAsia="ar-SA"/>
        </w:rPr>
        <w:t xml:space="preserve"> sul tema delle bioenergie. Si è iniziato con l’incontro dal titolo “Utilizzo di materiali biodegradabili in agricoltura”, e nel secondo giorno è andato in scena il webinar dal titolo “Linea Guida per l’utilizzo degli impianti energetici a biomassa”. Nella giornata di oggi la “</w:t>
      </w:r>
      <w:proofErr w:type="spellStart"/>
      <w:r w:rsidRPr="00E86877">
        <w:rPr>
          <w:rFonts w:eastAsia="Times New Roman" w:cs="Times New Roman"/>
          <w:b/>
          <w:i/>
          <w:iCs/>
          <w:color w:val="auto"/>
          <w:bdr w:val="none" w:sz="0" w:space="0" w:color="auto"/>
          <w:lang w:val="it-IT" w:eastAsia="ar-SA"/>
        </w:rPr>
        <w:t>final</w:t>
      </w:r>
      <w:proofErr w:type="spellEnd"/>
      <w:r w:rsidRPr="00E86877">
        <w:rPr>
          <w:rFonts w:eastAsia="Times New Roman" w:cs="Times New Roman"/>
          <w:b/>
          <w:i/>
          <w:iCs/>
          <w:color w:val="auto"/>
          <w:bdr w:val="none" w:sz="0" w:space="0" w:color="auto"/>
          <w:lang w:val="it-IT" w:eastAsia="ar-SA"/>
        </w:rPr>
        <w:t xml:space="preserve"> conference” del progetto </w:t>
      </w:r>
      <w:proofErr w:type="spellStart"/>
      <w:r w:rsidRPr="00E86877">
        <w:rPr>
          <w:rFonts w:eastAsia="Times New Roman" w:cs="Times New Roman"/>
          <w:b/>
          <w:i/>
          <w:iCs/>
          <w:color w:val="auto"/>
          <w:bdr w:val="none" w:sz="0" w:space="0" w:color="auto"/>
          <w:lang w:val="it-IT" w:eastAsia="ar-SA"/>
        </w:rPr>
        <w:t>Enabling</w:t>
      </w:r>
      <w:proofErr w:type="spellEnd"/>
      <w:r w:rsidRPr="00E86877">
        <w:rPr>
          <w:rFonts w:eastAsia="Times New Roman" w:cs="Times New Roman"/>
          <w:b/>
          <w:i/>
          <w:iCs/>
          <w:color w:val="auto"/>
          <w:bdr w:val="none" w:sz="0" w:space="0" w:color="auto"/>
          <w:lang w:val="it-IT" w:eastAsia="ar-SA"/>
        </w:rPr>
        <w:t xml:space="preserve">. </w:t>
      </w:r>
    </w:p>
    <w:p w14:paraId="16815EE1" w14:textId="77777777" w:rsidR="00E86877" w:rsidRPr="00E86877" w:rsidRDefault="00E86877" w:rsidP="00E8687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ind w:left="-284" w:right="567"/>
        <w:jc w:val="both"/>
        <w:rPr>
          <w:rFonts w:eastAsia="Times New Roman" w:cs="Times New Roman"/>
          <w:color w:val="auto"/>
          <w:bdr w:val="none" w:sz="0" w:space="0" w:color="auto"/>
          <w:lang w:val="it-IT" w:eastAsia="ar-SA"/>
        </w:rPr>
      </w:pPr>
    </w:p>
    <w:p w14:paraId="7C21A238" w14:textId="77777777" w:rsidR="00E86877" w:rsidRPr="00E86877" w:rsidRDefault="00E86877" w:rsidP="00E8687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ind w:left="-284" w:right="567"/>
        <w:jc w:val="both"/>
        <w:rPr>
          <w:rFonts w:eastAsia="Times New Roman" w:cs="Times New Roman"/>
          <w:color w:val="auto"/>
          <w:bdr w:val="none" w:sz="0" w:space="0" w:color="auto"/>
          <w:lang w:val="it-IT" w:eastAsia="ar-SA"/>
        </w:rPr>
      </w:pPr>
      <w:r w:rsidRPr="00E86877">
        <w:rPr>
          <w:rFonts w:eastAsia="Times New Roman" w:cs="Times New Roman"/>
          <w:color w:val="auto"/>
          <w:bdr w:val="none" w:sz="0" w:space="0" w:color="auto"/>
          <w:lang w:val="it-IT" w:eastAsia="ar-SA"/>
        </w:rPr>
        <w:t xml:space="preserve">Le energie rinnovabili sono uno dei temi salienti di EDP, l’edizione virtuale di EIMA International. Nei primi tre giorni della rassegna, infatti, </w:t>
      </w:r>
      <w:proofErr w:type="spellStart"/>
      <w:r w:rsidRPr="00E86877">
        <w:rPr>
          <w:rFonts w:eastAsia="Times New Roman" w:cs="Times New Roman"/>
          <w:color w:val="auto"/>
          <w:bdr w:val="none" w:sz="0" w:space="0" w:color="auto"/>
          <w:lang w:val="it-IT" w:eastAsia="ar-SA"/>
        </w:rPr>
        <w:t>Itabia</w:t>
      </w:r>
      <w:proofErr w:type="spellEnd"/>
      <w:r w:rsidRPr="00E86877">
        <w:rPr>
          <w:rFonts w:eastAsia="Times New Roman" w:cs="Times New Roman"/>
          <w:color w:val="auto"/>
          <w:bdr w:val="none" w:sz="0" w:space="0" w:color="auto"/>
          <w:lang w:val="it-IT" w:eastAsia="ar-SA"/>
        </w:rPr>
        <w:t xml:space="preserve"> (</w:t>
      </w:r>
      <w:proofErr w:type="spellStart"/>
      <w:r w:rsidRPr="00E86877">
        <w:rPr>
          <w:rFonts w:eastAsia="Times New Roman" w:cs="Times New Roman"/>
          <w:color w:val="auto"/>
          <w:bdr w:val="none" w:sz="0" w:space="0" w:color="auto"/>
          <w:lang w:val="it-IT" w:eastAsia="ar-SA"/>
        </w:rPr>
        <w:t>Italian</w:t>
      </w:r>
      <w:proofErr w:type="spellEnd"/>
      <w:r w:rsidRPr="00E86877">
        <w:rPr>
          <w:rFonts w:eastAsia="Times New Roman" w:cs="Times New Roman"/>
          <w:color w:val="auto"/>
          <w:bdr w:val="none" w:sz="0" w:space="0" w:color="auto"/>
          <w:lang w:val="it-IT" w:eastAsia="ar-SA"/>
        </w:rPr>
        <w:t xml:space="preserve"> </w:t>
      </w:r>
      <w:proofErr w:type="spellStart"/>
      <w:r w:rsidRPr="00E86877">
        <w:rPr>
          <w:rFonts w:eastAsia="Times New Roman" w:cs="Times New Roman"/>
          <w:color w:val="auto"/>
          <w:bdr w:val="none" w:sz="0" w:space="0" w:color="auto"/>
          <w:lang w:val="it-IT" w:eastAsia="ar-SA"/>
        </w:rPr>
        <w:t>Biomass</w:t>
      </w:r>
      <w:proofErr w:type="spellEnd"/>
      <w:r w:rsidRPr="00E86877">
        <w:rPr>
          <w:rFonts w:eastAsia="Times New Roman" w:cs="Times New Roman"/>
          <w:color w:val="auto"/>
          <w:bdr w:val="none" w:sz="0" w:space="0" w:color="auto"/>
          <w:lang w:val="it-IT" w:eastAsia="ar-SA"/>
        </w:rPr>
        <w:t xml:space="preserve"> Association) e FederUnacoma, l’associazione italiana dei costruttori di macchine agricole che è organizzatrice della EDP, hanno calendarizzato una serie di incontri centrati proprio sulle tematiche delle bioenergie e della bioeconomia. “La crisi che stiamo vivendo rappresenta un momento di svolta anche per la sostenibilità. Dobbiamo reagire con spirito positivo cogliendo le opportunità di sviluppo sostenibile lanciate dal Green </w:t>
      </w:r>
      <w:proofErr w:type="spellStart"/>
      <w:r w:rsidRPr="00E86877">
        <w:rPr>
          <w:rFonts w:eastAsia="Times New Roman" w:cs="Times New Roman"/>
          <w:color w:val="auto"/>
          <w:bdr w:val="none" w:sz="0" w:space="0" w:color="auto"/>
          <w:lang w:val="it-IT" w:eastAsia="ar-SA"/>
        </w:rPr>
        <w:t>Deal</w:t>
      </w:r>
      <w:proofErr w:type="spellEnd"/>
      <w:r w:rsidRPr="00E86877">
        <w:rPr>
          <w:rFonts w:eastAsia="Times New Roman" w:cs="Times New Roman"/>
          <w:color w:val="auto"/>
          <w:bdr w:val="none" w:sz="0" w:space="0" w:color="auto"/>
          <w:lang w:val="it-IT" w:eastAsia="ar-SA"/>
        </w:rPr>
        <w:t xml:space="preserve"> e finanziabili con lo strumento ‘Next Generation EU’”, commenta </w:t>
      </w:r>
      <w:proofErr w:type="spellStart"/>
      <w:r w:rsidRPr="00E86877">
        <w:rPr>
          <w:rFonts w:eastAsia="Times New Roman" w:cs="Times New Roman"/>
          <w:color w:val="auto"/>
          <w:bdr w:val="none" w:sz="0" w:space="0" w:color="auto"/>
          <w:lang w:val="it-IT" w:eastAsia="ar-SA"/>
        </w:rPr>
        <w:t>Itabia</w:t>
      </w:r>
      <w:proofErr w:type="spellEnd"/>
      <w:r w:rsidRPr="00E86877">
        <w:rPr>
          <w:rFonts w:eastAsia="Times New Roman" w:cs="Times New Roman"/>
          <w:color w:val="auto"/>
          <w:bdr w:val="none" w:sz="0" w:space="0" w:color="auto"/>
          <w:lang w:val="it-IT" w:eastAsia="ar-SA"/>
        </w:rPr>
        <w:t xml:space="preserve"> a conclusione del ciclo di incontri programmato. Oggi, secondo i dati del recente Rapporto </w:t>
      </w:r>
      <w:proofErr w:type="spellStart"/>
      <w:r w:rsidRPr="00E86877">
        <w:rPr>
          <w:rFonts w:eastAsia="Times New Roman" w:cs="Times New Roman"/>
          <w:color w:val="auto"/>
          <w:bdr w:val="none" w:sz="0" w:space="0" w:color="auto"/>
          <w:lang w:val="it-IT" w:eastAsia="ar-SA"/>
        </w:rPr>
        <w:t>Greenitaly</w:t>
      </w:r>
      <w:proofErr w:type="spellEnd"/>
      <w:r w:rsidRPr="00E86877">
        <w:rPr>
          <w:rFonts w:eastAsia="Times New Roman" w:cs="Times New Roman"/>
          <w:color w:val="auto"/>
          <w:bdr w:val="none" w:sz="0" w:space="0" w:color="auto"/>
          <w:lang w:val="it-IT" w:eastAsia="ar-SA"/>
        </w:rPr>
        <w:t xml:space="preserve"> 2020, sono 432 mila le imprese italiane che negli ultimi 5 anni hanno investito sulla green economy per superare la crisi. In </w:t>
      </w:r>
      <w:proofErr w:type="spellStart"/>
      <w:r w:rsidRPr="00E86877">
        <w:rPr>
          <w:rFonts w:eastAsia="Times New Roman" w:cs="Times New Roman"/>
          <w:color w:val="auto"/>
          <w:bdr w:val="none" w:sz="0" w:space="0" w:color="auto"/>
          <w:lang w:val="it-IT" w:eastAsia="ar-SA"/>
        </w:rPr>
        <w:t>italia</w:t>
      </w:r>
      <w:proofErr w:type="spellEnd"/>
      <w:r w:rsidRPr="00E86877">
        <w:rPr>
          <w:rFonts w:eastAsia="Times New Roman" w:cs="Times New Roman"/>
          <w:color w:val="auto"/>
          <w:bdr w:val="none" w:sz="0" w:space="0" w:color="auto"/>
          <w:lang w:val="it-IT" w:eastAsia="ar-SA"/>
        </w:rPr>
        <w:t xml:space="preserve"> si contano 3,1 milioni di green jobs, il 13,4% degli occupati. “Occorre marciare compatti in questa direzione incentivando ricerca e innovazione tecnologica – aggiunge </w:t>
      </w:r>
      <w:proofErr w:type="spellStart"/>
      <w:r w:rsidRPr="00E86877">
        <w:rPr>
          <w:rFonts w:eastAsia="Times New Roman" w:cs="Times New Roman"/>
          <w:color w:val="auto"/>
          <w:bdr w:val="none" w:sz="0" w:space="0" w:color="auto"/>
          <w:lang w:val="it-IT" w:eastAsia="ar-SA"/>
        </w:rPr>
        <w:t>Itabia</w:t>
      </w:r>
      <w:proofErr w:type="spellEnd"/>
      <w:r w:rsidRPr="00E86877">
        <w:rPr>
          <w:rFonts w:eastAsia="Times New Roman" w:cs="Times New Roman"/>
          <w:color w:val="auto"/>
          <w:bdr w:val="none" w:sz="0" w:space="0" w:color="auto"/>
          <w:lang w:val="it-IT" w:eastAsia="ar-SA"/>
        </w:rPr>
        <w:t xml:space="preserve"> - per ridurre gli impatti ambientali e creare nuove figure professionali”. In questo quadro </w:t>
      </w:r>
      <w:proofErr w:type="spellStart"/>
      <w:r w:rsidRPr="00E86877">
        <w:rPr>
          <w:rFonts w:eastAsia="Times New Roman" w:cs="Times New Roman"/>
          <w:color w:val="auto"/>
          <w:bdr w:val="none" w:sz="0" w:space="0" w:color="auto"/>
          <w:lang w:val="it-IT" w:eastAsia="ar-SA"/>
        </w:rPr>
        <w:t>Itabia</w:t>
      </w:r>
      <w:proofErr w:type="spellEnd"/>
      <w:r w:rsidRPr="00E86877">
        <w:rPr>
          <w:rFonts w:eastAsia="Times New Roman" w:cs="Times New Roman"/>
          <w:color w:val="auto"/>
          <w:bdr w:val="none" w:sz="0" w:space="0" w:color="auto"/>
          <w:lang w:val="it-IT" w:eastAsia="ar-SA"/>
        </w:rPr>
        <w:t xml:space="preserve"> in stretta collaborazione con Chimica Verde </w:t>
      </w:r>
      <w:proofErr w:type="spellStart"/>
      <w:r w:rsidRPr="00E86877">
        <w:rPr>
          <w:rFonts w:eastAsia="Times New Roman" w:cs="Times New Roman"/>
          <w:color w:val="auto"/>
          <w:bdr w:val="none" w:sz="0" w:space="0" w:color="auto"/>
          <w:lang w:val="it-IT" w:eastAsia="ar-SA"/>
        </w:rPr>
        <w:t>Bionet</w:t>
      </w:r>
      <w:proofErr w:type="spellEnd"/>
      <w:r w:rsidRPr="00E86877">
        <w:rPr>
          <w:rFonts w:eastAsia="Times New Roman" w:cs="Times New Roman"/>
          <w:color w:val="auto"/>
          <w:bdr w:val="none" w:sz="0" w:space="0" w:color="auto"/>
          <w:lang w:val="it-IT" w:eastAsia="ar-SA"/>
        </w:rPr>
        <w:t xml:space="preserve"> ed ENEA, ha realizzato all’EDP tre webinar di grande attualità per trattare – da diverse angolazioni – il tema della biomassa, risorsa rinnovabile per una molteplicità di impieghi nel settore della bioeconomia circolare. Negli incontri si è discusso di </w:t>
      </w:r>
      <w:proofErr w:type="spellStart"/>
      <w:r w:rsidRPr="00E86877">
        <w:rPr>
          <w:rFonts w:eastAsia="Times New Roman" w:cs="Times New Roman"/>
          <w:color w:val="auto"/>
          <w:bdr w:val="none" w:sz="0" w:space="0" w:color="auto"/>
          <w:lang w:val="it-IT" w:eastAsia="ar-SA"/>
        </w:rPr>
        <w:t>biobased</w:t>
      </w:r>
      <w:proofErr w:type="spellEnd"/>
      <w:r w:rsidRPr="00E86877">
        <w:rPr>
          <w:rFonts w:eastAsia="Times New Roman" w:cs="Times New Roman"/>
          <w:color w:val="auto"/>
          <w:bdr w:val="none" w:sz="0" w:space="0" w:color="auto"/>
          <w:lang w:val="it-IT" w:eastAsia="ar-SA"/>
        </w:rPr>
        <w:t xml:space="preserve"> </w:t>
      </w:r>
      <w:proofErr w:type="spellStart"/>
      <w:r w:rsidRPr="00E86877">
        <w:rPr>
          <w:rFonts w:eastAsia="Times New Roman" w:cs="Times New Roman"/>
          <w:color w:val="auto"/>
          <w:bdr w:val="none" w:sz="0" w:space="0" w:color="auto"/>
          <w:lang w:val="it-IT" w:eastAsia="ar-SA"/>
        </w:rPr>
        <w:t>industry</w:t>
      </w:r>
      <w:proofErr w:type="spellEnd"/>
      <w:r w:rsidRPr="00E86877">
        <w:rPr>
          <w:rFonts w:eastAsia="Times New Roman" w:cs="Times New Roman"/>
          <w:color w:val="auto"/>
          <w:bdr w:val="none" w:sz="0" w:space="0" w:color="auto"/>
          <w:lang w:val="it-IT" w:eastAsia="ar-SA"/>
        </w:rPr>
        <w:t>, di agricoltura sostenibile, di bioenergia, senza mai trascurare il ruolo centrale di una moderna meccanizzazione agricola e forestale per la raccolta, la movimentazione e il condizionamento della biomassa. Ai partecipanti sono stati peraltro riconosciuti crediti formativi in misura determinata dai rispettivi Ordini professionali.</w:t>
      </w:r>
    </w:p>
    <w:p w14:paraId="31593F4C" w14:textId="77777777" w:rsidR="00E86877" w:rsidRPr="00E86877" w:rsidRDefault="00E86877" w:rsidP="00E8687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ind w:left="-284" w:right="567"/>
        <w:jc w:val="both"/>
        <w:rPr>
          <w:rFonts w:eastAsia="Times New Roman" w:cs="Times New Roman"/>
          <w:color w:val="auto"/>
          <w:bdr w:val="none" w:sz="0" w:space="0" w:color="auto"/>
          <w:lang w:val="it-IT" w:eastAsia="ar-SA"/>
        </w:rPr>
      </w:pPr>
      <w:r w:rsidRPr="00E86877">
        <w:rPr>
          <w:rFonts w:eastAsia="Times New Roman" w:cs="Times New Roman"/>
          <w:color w:val="auto"/>
          <w:bdr w:val="none" w:sz="0" w:space="0" w:color="auto"/>
          <w:lang w:val="it-IT" w:eastAsia="ar-SA"/>
        </w:rPr>
        <w:t xml:space="preserve">Il webinar “Utilizzo di materiali biodegradabili in agricoltura” (tenutosi l’11 novembre) ha trattato di bioeconomia e delle sue applicazioni in agricoltura attraverso mezzi tecnici innovativi e a basso impatto ambientale. Si è parlato in particolare di pacciamature biodegradabili, delle loro caratteristiche e dei vantaggi ambientali ed economici associati al loro impiego. </w:t>
      </w:r>
    </w:p>
    <w:p w14:paraId="47DE1150" w14:textId="77777777" w:rsidR="00E86877" w:rsidRPr="00E86877" w:rsidRDefault="00E86877" w:rsidP="00E8687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ind w:left="-284" w:right="567"/>
        <w:jc w:val="both"/>
        <w:rPr>
          <w:rFonts w:eastAsia="Times New Roman" w:cs="Times New Roman"/>
          <w:color w:val="auto"/>
          <w:bdr w:val="none" w:sz="0" w:space="0" w:color="auto"/>
          <w:lang w:val="it-IT" w:eastAsia="ar-SA"/>
        </w:rPr>
      </w:pPr>
      <w:r w:rsidRPr="00E86877">
        <w:rPr>
          <w:rFonts w:eastAsia="Times New Roman" w:cs="Times New Roman"/>
          <w:color w:val="auto"/>
          <w:bdr w:val="none" w:sz="0" w:space="0" w:color="auto"/>
          <w:lang w:val="it-IT" w:eastAsia="ar-SA"/>
        </w:rPr>
        <w:t xml:space="preserve">Nel secondo giorno della EDP (12 novembre) è stato presentato lo studio ENEA “Linea Guida per l’utilizzo degli impianti energetici a biomassa”, dove si sono descritti i passaggi tecnici ed amministrativi per ottenere le autorizzazioni alla realizzazione e gestione degli impianti energetici a biomassa, oltre che i criteri di scelta dei processi e delle tecnologie di conversione. </w:t>
      </w:r>
    </w:p>
    <w:p w14:paraId="2D4B0793" w14:textId="77777777" w:rsidR="00E86877" w:rsidRPr="00E86877" w:rsidRDefault="00E86877" w:rsidP="00E8687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ind w:left="-284" w:right="567"/>
        <w:jc w:val="both"/>
        <w:rPr>
          <w:rFonts w:eastAsia="Times New Roman" w:cs="Times New Roman"/>
          <w:color w:val="auto"/>
          <w:bdr w:val="none" w:sz="0" w:space="0" w:color="auto"/>
          <w:lang w:val="it-IT" w:eastAsia="ar-SA"/>
        </w:rPr>
      </w:pPr>
      <w:r w:rsidRPr="00E86877">
        <w:rPr>
          <w:rFonts w:eastAsia="Times New Roman" w:cs="Times New Roman"/>
          <w:color w:val="auto"/>
          <w:bdr w:val="none" w:sz="0" w:space="0" w:color="auto"/>
          <w:lang w:val="it-IT" w:eastAsia="ar-SA"/>
        </w:rPr>
        <w:t xml:space="preserve">Nella giornata odierna, infine, si è tenuta la </w:t>
      </w:r>
      <w:proofErr w:type="spellStart"/>
      <w:r w:rsidRPr="00E86877">
        <w:rPr>
          <w:rFonts w:eastAsia="Times New Roman" w:cs="Times New Roman"/>
          <w:color w:val="auto"/>
          <w:bdr w:val="none" w:sz="0" w:space="0" w:color="auto"/>
          <w:lang w:val="it-IT" w:eastAsia="ar-SA"/>
        </w:rPr>
        <w:t>Final</w:t>
      </w:r>
      <w:proofErr w:type="spellEnd"/>
      <w:r w:rsidRPr="00E86877">
        <w:rPr>
          <w:rFonts w:eastAsia="Times New Roman" w:cs="Times New Roman"/>
          <w:color w:val="auto"/>
          <w:bdr w:val="none" w:sz="0" w:space="0" w:color="auto"/>
          <w:lang w:val="it-IT" w:eastAsia="ar-SA"/>
        </w:rPr>
        <w:t xml:space="preserve"> Conference del Progetto ENABLING “</w:t>
      </w:r>
      <w:proofErr w:type="spellStart"/>
      <w:r w:rsidRPr="00E86877">
        <w:rPr>
          <w:rFonts w:eastAsia="Times New Roman" w:cs="Times New Roman"/>
          <w:color w:val="auto"/>
          <w:bdr w:val="none" w:sz="0" w:space="0" w:color="auto"/>
          <w:lang w:val="it-IT" w:eastAsia="ar-SA"/>
        </w:rPr>
        <w:t>Enhance</w:t>
      </w:r>
      <w:proofErr w:type="spellEnd"/>
      <w:r w:rsidRPr="00E86877">
        <w:rPr>
          <w:rFonts w:eastAsia="Times New Roman" w:cs="Times New Roman"/>
          <w:color w:val="auto"/>
          <w:bdr w:val="none" w:sz="0" w:space="0" w:color="auto"/>
          <w:lang w:val="it-IT" w:eastAsia="ar-SA"/>
        </w:rPr>
        <w:t xml:space="preserve"> New </w:t>
      </w:r>
      <w:proofErr w:type="spellStart"/>
      <w:r w:rsidRPr="00E86877">
        <w:rPr>
          <w:rFonts w:eastAsia="Times New Roman" w:cs="Times New Roman"/>
          <w:color w:val="auto"/>
          <w:bdr w:val="none" w:sz="0" w:space="0" w:color="auto"/>
          <w:lang w:val="it-IT" w:eastAsia="ar-SA"/>
        </w:rPr>
        <w:t>Approaches</w:t>
      </w:r>
      <w:proofErr w:type="spellEnd"/>
      <w:r w:rsidRPr="00E86877">
        <w:rPr>
          <w:rFonts w:eastAsia="Times New Roman" w:cs="Times New Roman"/>
          <w:color w:val="auto"/>
          <w:bdr w:val="none" w:sz="0" w:space="0" w:color="auto"/>
          <w:lang w:val="it-IT" w:eastAsia="ar-SA"/>
        </w:rPr>
        <w:t xml:space="preserve"> in </w:t>
      </w:r>
      <w:proofErr w:type="spellStart"/>
      <w:r w:rsidRPr="00E86877">
        <w:rPr>
          <w:rFonts w:eastAsia="Times New Roman" w:cs="Times New Roman"/>
          <w:color w:val="auto"/>
          <w:bdr w:val="none" w:sz="0" w:space="0" w:color="auto"/>
          <w:lang w:val="it-IT" w:eastAsia="ar-SA"/>
        </w:rPr>
        <w:t>Biobased</w:t>
      </w:r>
      <w:proofErr w:type="spellEnd"/>
      <w:r w:rsidRPr="00E86877">
        <w:rPr>
          <w:rFonts w:eastAsia="Times New Roman" w:cs="Times New Roman"/>
          <w:color w:val="auto"/>
          <w:bdr w:val="none" w:sz="0" w:space="0" w:color="auto"/>
          <w:lang w:val="it-IT" w:eastAsia="ar-SA"/>
        </w:rPr>
        <w:t xml:space="preserve"> Local Innovation Networks for </w:t>
      </w:r>
      <w:proofErr w:type="spellStart"/>
      <w:r w:rsidRPr="00E86877">
        <w:rPr>
          <w:rFonts w:eastAsia="Times New Roman" w:cs="Times New Roman"/>
          <w:color w:val="auto"/>
          <w:bdr w:val="none" w:sz="0" w:space="0" w:color="auto"/>
          <w:lang w:val="it-IT" w:eastAsia="ar-SA"/>
        </w:rPr>
        <w:t>Growth</w:t>
      </w:r>
      <w:proofErr w:type="spellEnd"/>
      <w:r w:rsidRPr="00E86877">
        <w:rPr>
          <w:rFonts w:eastAsia="Times New Roman" w:cs="Times New Roman"/>
          <w:color w:val="auto"/>
          <w:bdr w:val="none" w:sz="0" w:space="0" w:color="auto"/>
          <w:lang w:val="it-IT" w:eastAsia="ar-SA"/>
        </w:rPr>
        <w:t xml:space="preserve">”, sviluppato nell’ambito del programma H2020 e coordinato da </w:t>
      </w:r>
      <w:r w:rsidRPr="00E86877">
        <w:rPr>
          <w:rFonts w:eastAsia="Times New Roman" w:cs="Times New Roman"/>
          <w:color w:val="auto"/>
          <w:bdr w:val="none" w:sz="0" w:space="0" w:color="auto"/>
          <w:lang w:val="it-IT" w:eastAsia="ar-SA"/>
        </w:rPr>
        <w:lastRenderedPageBreak/>
        <w:t xml:space="preserve">FederUnacoma e </w:t>
      </w:r>
      <w:proofErr w:type="spellStart"/>
      <w:r w:rsidRPr="00E86877">
        <w:rPr>
          <w:rFonts w:eastAsia="Times New Roman" w:cs="Times New Roman"/>
          <w:color w:val="auto"/>
          <w:bdr w:val="none" w:sz="0" w:space="0" w:color="auto"/>
          <w:lang w:val="it-IT" w:eastAsia="ar-SA"/>
        </w:rPr>
        <w:t>Itabia</w:t>
      </w:r>
      <w:proofErr w:type="spellEnd"/>
      <w:r w:rsidRPr="00E86877">
        <w:rPr>
          <w:rFonts w:eastAsia="Times New Roman" w:cs="Times New Roman"/>
          <w:color w:val="auto"/>
          <w:bdr w:val="none" w:sz="0" w:space="0" w:color="auto"/>
          <w:lang w:val="it-IT" w:eastAsia="ar-SA"/>
        </w:rPr>
        <w:t xml:space="preserve">. Il progetto ha realizzato una serie di strumenti per valorizzare il mercato dei </w:t>
      </w:r>
      <w:proofErr w:type="spellStart"/>
      <w:r w:rsidRPr="00E86877">
        <w:rPr>
          <w:rFonts w:eastAsia="Times New Roman" w:cs="Times New Roman"/>
          <w:color w:val="auto"/>
          <w:bdr w:val="none" w:sz="0" w:space="0" w:color="auto"/>
          <w:lang w:val="it-IT" w:eastAsia="ar-SA"/>
        </w:rPr>
        <w:t>bioprodotti</w:t>
      </w:r>
      <w:proofErr w:type="spellEnd"/>
      <w:r w:rsidRPr="00E86877">
        <w:rPr>
          <w:rFonts w:eastAsia="Times New Roman" w:cs="Times New Roman"/>
          <w:color w:val="auto"/>
          <w:bdr w:val="none" w:sz="0" w:space="0" w:color="auto"/>
          <w:lang w:val="it-IT" w:eastAsia="ar-SA"/>
        </w:rPr>
        <w:t xml:space="preserve"> agevolando il contatto tra il settore agricolo (produttore di biomasse) e quello industriale (trasformatore). EDP è stata, sotto questo profilo, una vetrina per facilitare l’impiego di prodotti e sottoprodotti agricoli in settori con grandi potenzialità di crescita come la chimica verde, il tessile, </w:t>
      </w:r>
      <w:proofErr w:type="spellStart"/>
      <w:r w:rsidRPr="00E86877">
        <w:rPr>
          <w:rFonts w:eastAsia="Times New Roman" w:cs="Times New Roman"/>
          <w:color w:val="auto"/>
          <w:bdr w:val="none" w:sz="0" w:space="0" w:color="auto"/>
          <w:lang w:val="it-IT" w:eastAsia="ar-SA"/>
        </w:rPr>
        <w:t>l’automotive</w:t>
      </w:r>
      <w:proofErr w:type="spellEnd"/>
      <w:r w:rsidRPr="00E86877">
        <w:rPr>
          <w:rFonts w:eastAsia="Times New Roman" w:cs="Times New Roman"/>
          <w:color w:val="auto"/>
          <w:bdr w:val="none" w:sz="0" w:space="0" w:color="auto"/>
          <w:lang w:val="it-IT" w:eastAsia="ar-SA"/>
        </w:rPr>
        <w:t xml:space="preserve">, la nutraceutica e la bioedilizia. </w:t>
      </w:r>
    </w:p>
    <w:p w14:paraId="770DE7A4" w14:textId="77777777" w:rsidR="005D3FA8" w:rsidRPr="005D3FA8" w:rsidRDefault="005D3FA8" w:rsidP="005D3FA8">
      <w:pPr>
        <w:tabs>
          <w:tab w:val="left" w:pos="7655"/>
        </w:tabs>
        <w:ind w:left="-284" w:right="425"/>
        <w:jc w:val="both"/>
        <w:rPr>
          <w:rFonts w:cs="Times New Roman"/>
          <w:b/>
          <w:sz w:val="28"/>
          <w:lang w:val="it-IT"/>
        </w:rPr>
      </w:pPr>
    </w:p>
    <w:p w14:paraId="7DA4DC16" w14:textId="77777777" w:rsidR="00ED24DD" w:rsidRPr="00A06A35" w:rsidRDefault="00ED24DD" w:rsidP="00CB2AFD">
      <w:pPr>
        <w:tabs>
          <w:tab w:val="left" w:pos="7655"/>
        </w:tabs>
        <w:ind w:left="-284" w:right="425"/>
        <w:jc w:val="both"/>
        <w:rPr>
          <w:rFonts w:cs="Times New Roman"/>
          <w:lang w:val="fr-FR"/>
        </w:rPr>
      </w:pPr>
    </w:p>
    <w:p w14:paraId="1339E3FF" w14:textId="656D409D" w:rsidR="00E77019" w:rsidRPr="00A06A35" w:rsidRDefault="00AE058B" w:rsidP="00CB2AFD">
      <w:pPr>
        <w:tabs>
          <w:tab w:val="left" w:pos="7655"/>
        </w:tabs>
        <w:ind w:left="-284" w:right="425"/>
        <w:jc w:val="both"/>
        <w:rPr>
          <w:rFonts w:cs="Times New Roman"/>
          <w:b/>
          <w:lang w:val="fr-FR"/>
        </w:rPr>
      </w:pPr>
      <w:r>
        <w:rPr>
          <w:rFonts w:cs="Times New Roman"/>
          <w:b/>
          <w:lang w:val="fr-FR"/>
        </w:rPr>
        <w:t>Rom</w:t>
      </w:r>
      <w:r w:rsidR="00601685">
        <w:rPr>
          <w:rFonts w:cs="Times New Roman"/>
          <w:b/>
          <w:lang w:val="fr-FR"/>
        </w:rPr>
        <w:t>a</w:t>
      </w:r>
      <w:r w:rsidR="00497C4D" w:rsidRPr="00A06A35">
        <w:rPr>
          <w:rFonts w:cs="Times New Roman"/>
          <w:b/>
          <w:lang w:val="fr-FR"/>
        </w:rPr>
        <w:t xml:space="preserve">, </w:t>
      </w:r>
      <w:r w:rsidR="00B57CAD">
        <w:rPr>
          <w:rFonts w:cs="Times New Roman"/>
          <w:b/>
          <w:lang w:val="fr-FR"/>
        </w:rPr>
        <w:t>1</w:t>
      </w:r>
      <w:r w:rsidR="00986B19">
        <w:rPr>
          <w:rFonts w:cs="Times New Roman"/>
          <w:b/>
          <w:lang w:val="fr-FR"/>
        </w:rPr>
        <w:t>3</w:t>
      </w:r>
      <w:r w:rsidR="00B57CAD">
        <w:rPr>
          <w:rFonts w:cs="Times New Roman"/>
          <w:b/>
          <w:lang w:val="fr-FR"/>
        </w:rPr>
        <w:t xml:space="preserve"> </w:t>
      </w:r>
      <w:r w:rsidR="00497C4D" w:rsidRPr="00A06A35">
        <w:rPr>
          <w:rFonts w:cs="Times New Roman"/>
          <w:b/>
          <w:lang w:val="fr-FR"/>
        </w:rPr>
        <w:t>novembre 2020</w:t>
      </w:r>
    </w:p>
    <w:sectPr w:rsidR="00E77019" w:rsidRPr="00A06A35">
      <w:headerReference w:type="default" r:id="rId10"/>
      <w:footerReference w:type="default" r:id="rId11"/>
      <w:pgSz w:w="11900" w:h="16840"/>
      <w:pgMar w:top="0" w:right="560" w:bottom="284" w:left="32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B65C795" w14:textId="77777777" w:rsidR="00AC40B3" w:rsidRDefault="00AC40B3">
      <w:r>
        <w:separator/>
      </w:r>
    </w:p>
  </w:endnote>
  <w:endnote w:type="continuationSeparator" w:id="0">
    <w:p w14:paraId="3208168F" w14:textId="77777777" w:rsidR="00AC40B3" w:rsidRDefault="00AC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 Neue">
    <w:altName w:val="Sylfaen"/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50517E4" w14:textId="77777777" w:rsidR="00E77019" w:rsidRDefault="00E77019">
    <w:pPr>
      <w:pStyle w:val="Intestazioneepidipagina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5320ED2" w14:textId="77777777" w:rsidR="00AC40B3" w:rsidRDefault="00AC40B3">
      <w:r>
        <w:separator/>
      </w:r>
    </w:p>
  </w:footnote>
  <w:footnote w:type="continuationSeparator" w:id="0">
    <w:p w14:paraId="6B5ED01D" w14:textId="77777777" w:rsidR="00AC40B3" w:rsidRDefault="00AC4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90FFA8B" w14:textId="29CF683F" w:rsidR="00E77019" w:rsidRDefault="007C54E7">
    <w:pPr>
      <w:pStyle w:val="Intestazione"/>
      <w:tabs>
        <w:tab w:val="clear" w:pos="9638"/>
        <w:tab w:val="right" w:pos="7485"/>
      </w:tabs>
    </w:pPr>
    <w:r>
      <w:rPr>
        <w:noProof/>
        <w:lang w:val="it-IT"/>
      </w:rPr>
      <mc:AlternateContent>
        <mc:Choice Requires="wps">
          <w:drawing>
            <wp:anchor distT="152400" distB="152400" distL="152400" distR="152400" simplePos="0" relativeHeight="251658240" behindDoc="1" locked="0" layoutInCell="1" allowOverlap="1" wp14:anchorId="0CA7556D" wp14:editId="307C40D1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56500" cy="10693400"/>
              <wp:effectExtent l="0" t="0" r="6350" b="3175"/>
              <wp:wrapNone/>
              <wp:docPr id="2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56500" cy="10693400"/>
                      </a:xfrm>
                      <a:prstGeom prst="roundRect">
                        <a:avLst>
                          <a:gd name="adj" fmla="val 20000"/>
                        </a:avLst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4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w14:anchorId="7D124F5D" id="AutoShape 2" o:spid="_x0000_s1026" style="position:absolute;margin-left:0;margin-top:0;width:595pt;height:842pt;z-index:-251658240;visibility:visible;mso-wrap-style:square;mso-width-percent:0;mso-height-percent:0;mso-wrap-distance-left:12pt;mso-wrap-distance-top:12pt;mso-wrap-distance-right:12pt;mso-wrap-distance-bottom:12pt;mso-position-horizontal:absolute;mso-position-horizontal-relative:page;mso-position-vertical:absolute;mso-position-vertical-relative:page;mso-width-percent:0;mso-height-percent:0;mso-width-relative:page;mso-height-relative:page;v-text-anchor:top" arcsize="1310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" stroked="f" strokeweight="1pt">
              <v:stroke miterlimit="4" joinstyle="miter"/>
              <w10:wrap anchorx="page" anchory="page"/>
            </v:roundrect>
          </w:pict>
        </mc:Fallback>
      </mc:AlternateContent>
    </w:r>
    <w:r w:rsidR="00497C4D">
      <w:rPr>
        <w:noProof/>
        <w:lang w:val="it-IT"/>
      </w:rPr>
      <w:drawing>
        <wp:anchor distT="152400" distB="152400" distL="152400" distR="152400" simplePos="0" relativeHeight="251659264" behindDoc="1" locked="0" layoutInCell="1" allowOverlap="1" wp14:anchorId="0A84E9C7" wp14:editId="28092D18">
          <wp:simplePos x="0" y="0"/>
          <wp:positionH relativeFrom="page">
            <wp:posOffset>-31749</wp:posOffset>
          </wp:positionH>
          <wp:positionV relativeFrom="page">
            <wp:posOffset>3175</wp:posOffset>
          </wp:positionV>
          <wp:extent cx="7588885" cy="10744200"/>
          <wp:effectExtent l="0" t="0" r="0" b="0"/>
          <wp:wrapNone/>
          <wp:docPr id="1073741826" name="officeArt object" descr="CARTA INT EIMA com stampa 2014.jpe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CARTA INT EIMA com stampa 2014.jpeg" descr="CARTA INT EIMA com stampa 2014.jpe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88885" cy="1074420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rPr>
        <w:noProof/>
        <w:lang w:val="it-IT"/>
      </w:rPr>
      <mc:AlternateContent>
        <mc:Choice Requires="wps">
          <w:drawing>
            <wp:anchor distT="152400" distB="152400" distL="152400" distR="152400" simplePos="0" relativeHeight="251660288" behindDoc="1" locked="0" layoutInCell="1" allowOverlap="1" wp14:anchorId="0313B53C" wp14:editId="43DA6851">
              <wp:simplePos x="0" y="0"/>
              <wp:positionH relativeFrom="page">
                <wp:posOffset>6981825</wp:posOffset>
              </wp:positionH>
              <wp:positionV relativeFrom="page">
                <wp:posOffset>5091430</wp:posOffset>
              </wp:positionV>
              <wp:extent cx="574675" cy="329565"/>
              <wp:effectExtent l="0" t="0" r="0" b="0"/>
              <wp:wrapNone/>
              <wp:docPr id="1" name="officeArt object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4675" cy="3295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4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61C6529" w14:textId="1E47B4D9" w:rsidR="00E77019" w:rsidRDefault="00497C4D">
                          <w:pPr>
                            <w:pBdr>
                              <w:bottom w:val="single" w:sz="4" w:space="0" w:color="000000"/>
                            </w:pBdr>
                          </w:pPr>
                          <w:r>
                            <w:rPr>
                              <w:rStyle w:val="Nessuno"/>
                            </w:rPr>
                            <w:fldChar w:fldCharType="begin"/>
                          </w:r>
                          <w:r w:rsidR="00097B12">
                            <w:rPr>
                              <w:rStyle w:val="Nessuno"/>
                            </w:rPr>
                            <w:instrText xml:space="preserve"> PAGE </w:instrText>
                          </w:r>
                          <w:r>
                            <w:rPr>
                              <w:rStyle w:val="Nessuno"/>
                            </w:rPr>
                            <w:fldChar w:fldCharType="separate"/>
                          </w:r>
                          <w:r w:rsidR="00D90822">
                            <w:rPr>
                              <w:rStyle w:val="Nessuno"/>
                              <w:noProof/>
                            </w:rPr>
                            <w:t>1</w:t>
                          </w:r>
                          <w:r>
                            <w:rPr>
                              <w:rStyle w:val="Nessuno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45720" tIns="45720" rIns="4572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313B53C" id="officeArt object" o:spid="_x0000_s1026" style="position:absolute;margin-left:549.75pt;margin-top:400.9pt;width:45.25pt;height:25.95pt;z-index:-251656192;visibility:visible;mso-wrap-style:square;mso-width-percent:0;mso-height-percent:0;mso-wrap-distance-left:12pt;mso-wrap-distance-top:12pt;mso-wrap-distance-right:12pt;mso-wrap-distance-bottom:12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" stroked="f" strokeweight="1pt">
              <v:stroke miterlimit="4"/>
              <v:textbox inset="3.6pt,,3.6pt">
                <w:txbxContent>
                  <w:p w14:paraId="261C6529" w14:textId="1E47B4D9" w:rsidR="00E77019" w:rsidRDefault="00497C4D">
                    <w:pPr>
                      <w:pBdr>
                        <w:bottom w:val="single" w:sz="4" w:space="0" w:color="000000"/>
                      </w:pBdr>
                    </w:pPr>
                    <w:r>
                      <w:rPr>
                        <w:rStyle w:val="Nessuno"/>
                      </w:rPr>
                      <w:fldChar w:fldCharType="begin"/>
                    </w:r>
                    <w:r w:rsidR="00097B12">
                      <w:rPr>
                        <w:rStyle w:val="Nessuno"/>
                      </w:rPr>
                      <w:instrText xml:space="preserve"> PAGE </w:instrText>
                    </w:r>
                    <w:r>
                      <w:rPr>
                        <w:rStyle w:val="Nessuno"/>
                      </w:rPr>
                      <w:fldChar w:fldCharType="separate"/>
                    </w:r>
                    <w:r w:rsidR="00D90822">
                      <w:rPr>
                        <w:rStyle w:val="Nessuno"/>
                        <w:noProof/>
                      </w:rPr>
                      <w:t>1</w:t>
                    </w:r>
                    <w:r>
                      <w:rPr>
                        <w:rStyle w:val="Nessuno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67970EF"/>
    <w:multiLevelType w:val="hybridMultilevel"/>
    <w:tmpl w:val="739A7838"/>
    <w:lvl w:ilvl="0" w:tplc="96A25E34">
      <w:numFmt w:val="bullet"/>
      <w:lvlText w:val=""/>
      <w:lvlJc w:val="left"/>
      <w:pPr>
        <w:ind w:left="1065" w:hanging="360"/>
      </w:pPr>
      <w:rPr>
        <w:rFonts w:ascii="Wingdings" w:eastAsia="Arial Unicode MS" w:hAnsi="Wingdings" w:cs="Arial Unicode MS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0302"/>
    <w:rsid w:val="00050C2B"/>
    <w:rsid w:val="000658D9"/>
    <w:rsid w:val="00071614"/>
    <w:rsid w:val="00077DD2"/>
    <w:rsid w:val="000953A3"/>
    <w:rsid w:val="0009794B"/>
    <w:rsid w:val="00097B12"/>
    <w:rsid w:val="000B20A3"/>
    <w:rsid w:val="000B59DF"/>
    <w:rsid w:val="000D250A"/>
    <w:rsid w:val="000E0DB4"/>
    <w:rsid w:val="000E23E4"/>
    <w:rsid w:val="000E71A7"/>
    <w:rsid w:val="000F24D8"/>
    <w:rsid w:val="00114FE0"/>
    <w:rsid w:val="00124A76"/>
    <w:rsid w:val="001467AB"/>
    <w:rsid w:val="0015239E"/>
    <w:rsid w:val="00155345"/>
    <w:rsid w:val="00160663"/>
    <w:rsid w:val="00175461"/>
    <w:rsid w:val="0018354D"/>
    <w:rsid w:val="00191FF5"/>
    <w:rsid w:val="001C1C60"/>
    <w:rsid w:val="0022432E"/>
    <w:rsid w:val="00234191"/>
    <w:rsid w:val="00243210"/>
    <w:rsid w:val="00253F3A"/>
    <w:rsid w:val="00256769"/>
    <w:rsid w:val="00287C62"/>
    <w:rsid w:val="002A3758"/>
    <w:rsid w:val="002C1AD0"/>
    <w:rsid w:val="002E5D67"/>
    <w:rsid w:val="003076AD"/>
    <w:rsid w:val="00310703"/>
    <w:rsid w:val="003241F7"/>
    <w:rsid w:val="00330ADB"/>
    <w:rsid w:val="00333081"/>
    <w:rsid w:val="00364712"/>
    <w:rsid w:val="00372024"/>
    <w:rsid w:val="003747D1"/>
    <w:rsid w:val="003930B7"/>
    <w:rsid w:val="00395CEF"/>
    <w:rsid w:val="003E4D8B"/>
    <w:rsid w:val="00400CE5"/>
    <w:rsid w:val="00406182"/>
    <w:rsid w:val="004330CB"/>
    <w:rsid w:val="004541A8"/>
    <w:rsid w:val="00477EB0"/>
    <w:rsid w:val="00486E84"/>
    <w:rsid w:val="00486ED4"/>
    <w:rsid w:val="00490B24"/>
    <w:rsid w:val="00494FEC"/>
    <w:rsid w:val="00497C4D"/>
    <w:rsid w:val="004B1F47"/>
    <w:rsid w:val="004C2D99"/>
    <w:rsid w:val="004F6A11"/>
    <w:rsid w:val="004F7D4D"/>
    <w:rsid w:val="00521688"/>
    <w:rsid w:val="005433C5"/>
    <w:rsid w:val="005539BC"/>
    <w:rsid w:val="005760BB"/>
    <w:rsid w:val="005B0616"/>
    <w:rsid w:val="005D3FA8"/>
    <w:rsid w:val="005D6F85"/>
    <w:rsid w:val="005D7EBF"/>
    <w:rsid w:val="005F17E8"/>
    <w:rsid w:val="00601685"/>
    <w:rsid w:val="00613292"/>
    <w:rsid w:val="00643058"/>
    <w:rsid w:val="00652C4C"/>
    <w:rsid w:val="00677CC8"/>
    <w:rsid w:val="006810E8"/>
    <w:rsid w:val="00697357"/>
    <w:rsid w:val="006A5B42"/>
    <w:rsid w:val="006B52C1"/>
    <w:rsid w:val="006C0D12"/>
    <w:rsid w:val="006C2184"/>
    <w:rsid w:val="006C65AF"/>
    <w:rsid w:val="006D0827"/>
    <w:rsid w:val="006F791F"/>
    <w:rsid w:val="00715AC8"/>
    <w:rsid w:val="007354F9"/>
    <w:rsid w:val="00737B00"/>
    <w:rsid w:val="007A1614"/>
    <w:rsid w:val="007A2D4F"/>
    <w:rsid w:val="007C54E7"/>
    <w:rsid w:val="007C7957"/>
    <w:rsid w:val="00825D80"/>
    <w:rsid w:val="00826D90"/>
    <w:rsid w:val="00837222"/>
    <w:rsid w:val="008440C0"/>
    <w:rsid w:val="00845929"/>
    <w:rsid w:val="00846723"/>
    <w:rsid w:val="008553FB"/>
    <w:rsid w:val="00892EB6"/>
    <w:rsid w:val="00896574"/>
    <w:rsid w:val="008C6C11"/>
    <w:rsid w:val="008E660D"/>
    <w:rsid w:val="008F38AD"/>
    <w:rsid w:val="00900518"/>
    <w:rsid w:val="009234B5"/>
    <w:rsid w:val="00967353"/>
    <w:rsid w:val="00986B19"/>
    <w:rsid w:val="009934CC"/>
    <w:rsid w:val="009A599E"/>
    <w:rsid w:val="009C0F34"/>
    <w:rsid w:val="00A06A35"/>
    <w:rsid w:val="00A440F2"/>
    <w:rsid w:val="00A63A04"/>
    <w:rsid w:val="00A91C26"/>
    <w:rsid w:val="00A967AC"/>
    <w:rsid w:val="00AC40B3"/>
    <w:rsid w:val="00AE058B"/>
    <w:rsid w:val="00AE5012"/>
    <w:rsid w:val="00AF32F5"/>
    <w:rsid w:val="00B21437"/>
    <w:rsid w:val="00B32B8F"/>
    <w:rsid w:val="00B3675F"/>
    <w:rsid w:val="00B57CAD"/>
    <w:rsid w:val="00BA1E92"/>
    <w:rsid w:val="00BD1EC1"/>
    <w:rsid w:val="00BD5D3F"/>
    <w:rsid w:val="00BE5853"/>
    <w:rsid w:val="00C00D0F"/>
    <w:rsid w:val="00C03358"/>
    <w:rsid w:val="00C111DE"/>
    <w:rsid w:val="00C15314"/>
    <w:rsid w:val="00C23954"/>
    <w:rsid w:val="00C3470B"/>
    <w:rsid w:val="00C45CEC"/>
    <w:rsid w:val="00C802E7"/>
    <w:rsid w:val="00C83B9F"/>
    <w:rsid w:val="00C93831"/>
    <w:rsid w:val="00CB2AFD"/>
    <w:rsid w:val="00CC66BD"/>
    <w:rsid w:val="00CF6CDE"/>
    <w:rsid w:val="00D33E52"/>
    <w:rsid w:val="00D406B4"/>
    <w:rsid w:val="00D560A4"/>
    <w:rsid w:val="00D90822"/>
    <w:rsid w:val="00D916EC"/>
    <w:rsid w:val="00DB2FA8"/>
    <w:rsid w:val="00DC3813"/>
    <w:rsid w:val="00DD7A17"/>
    <w:rsid w:val="00E617EF"/>
    <w:rsid w:val="00E77019"/>
    <w:rsid w:val="00E86877"/>
    <w:rsid w:val="00E86B01"/>
    <w:rsid w:val="00EA5E1E"/>
    <w:rsid w:val="00ED20F4"/>
    <w:rsid w:val="00ED24DD"/>
    <w:rsid w:val="00ED6BD5"/>
    <w:rsid w:val="00EE791B"/>
    <w:rsid w:val="00F04588"/>
    <w:rsid w:val="00F206CF"/>
    <w:rsid w:val="00F341F9"/>
    <w:rsid w:val="00F46B54"/>
    <w:rsid w:val="00F50302"/>
    <w:rsid w:val="00F937D5"/>
    <w:rsid w:val="00F965E3"/>
    <w:rsid w:val="00FB2BFB"/>
    <w:rsid w:val="00FB6381"/>
    <w:rsid w:val="00FC0B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1C586B4"/>
  <w15:docId w15:val="{8AB0FBDD-5455-42DD-A61C-8F5CCD6370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Arial Unicode MS" w:hAnsi="Times New Roman" w:cs="Times New Roman"/>
        <w:bdr w:val="nil"/>
        <w:lang w:val="fr-FR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rsid w:val="00D406B4"/>
    <w:rPr>
      <w:rFonts w:cs="Arial Unicode MS"/>
      <w:color w:val="000000"/>
      <w:sz w:val="24"/>
      <w:szCs w:val="24"/>
      <w:u w:color="000000"/>
      <w:lang w:val="en-US"/>
    </w:rPr>
  </w:style>
  <w:style w:type="paragraph" w:styleId="Titolo3">
    <w:name w:val="heading 3"/>
    <w:basedOn w:val="Normale"/>
    <w:link w:val="Titolo3Carattere"/>
    <w:uiPriority w:val="9"/>
    <w:qFormat/>
    <w:rsid w:val="0090051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outlineLvl w:val="2"/>
    </w:pPr>
    <w:rPr>
      <w:rFonts w:eastAsia="Times New Roman" w:cs="Times New Roman"/>
      <w:b/>
      <w:bCs/>
      <w:color w:val="auto"/>
      <w:sz w:val="27"/>
      <w:szCs w:val="27"/>
      <w:bdr w:val="none" w:sz="0" w:space="0" w:color="auto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D406B4"/>
    <w:rPr>
      <w:u w:val="single"/>
    </w:rPr>
  </w:style>
  <w:style w:type="table" w:customStyle="1" w:styleId="TableNormal">
    <w:name w:val="Table Normal"/>
    <w:rsid w:val="00D406B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rsid w:val="00D406B4"/>
    <w:pPr>
      <w:tabs>
        <w:tab w:val="center" w:pos="4819"/>
        <w:tab w:val="right" w:pos="9638"/>
      </w:tabs>
    </w:pPr>
    <w:rPr>
      <w:rFonts w:cs="Arial Unicode MS"/>
      <w:color w:val="000000"/>
      <w:sz w:val="24"/>
      <w:szCs w:val="24"/>
      <w:u w:color="000000"/>
      <w:lang w:val="en-US"/>
    </w:rPr>
  </w:style>
  <w:style w:type="character" w:customStyle="1" w:styleId="Nessuno">
    <w:name w:val="Nessuno"/>
    <w:rsid w:val="00D406B4"/>
  </w:style>
  <w:style w:type="paragraph" w:customStyle="1" w:styleId="Intestazioneepidipagina">
    <w:name w:val="Intestazione e piè di pagina"/>
    <w:rsid w:val="00D406B4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table" w:styleId="Grigliatabella">
    <w:name w:val="Table Grid"/>
    <w:basedOn w:val="Tabellanormale"/>
    <w:uiPriority w:val="59"/>
    <w:rsid w:val="008553F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553F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553FB"/>
    <w:rPr>
      <w:rFonts w:ascii="Tahoma" w:hAnsi="Tahoma" w:cs="Tahoma"/>
      <w:color w:val="000000"/>
      <w:sz w:val="16"/>
      <w:szCs w:val="16"/>
      <w:u w:color="000000"/>
      <w:lang w:val="en-US"/>
    </w:rPr>
  </w:style>
  <w:style w:type="paragraph" w:styleId="Paragrafoelenco">
    <w:name w:val="List Paragraph"/>
    <w:basedOn w:val="Normale"/>
    <w:uiPriority w:val="34"/>
    <w:qFormat/>
    <w:rsid w:val="004F6A11"/>
    <w:pPr>
      <w:ind w:left="720"/>
      <w:contextualSpacing/>
    </w:pPr>
  </w:style>
  <w:style w:type="character" w:customStyle="1" w:styleId="Titolo3Carattere">
    <w:name w:val="Titolo 3 Carattere"/>
    <w:basedOn w:val="Carpredefinitoparagrafo"/>
    <w:link w:val="Titolo3"/>
    <w:uiPriority w:val="9"/>
    <w:rsid w:val="00900518"/>
    <w:rPr>
      <w:rFonts w:eastAsia="Times New Roman"/>
      <w:b/>
      <w:bCs/>
      <w:sz w:val="27"/>
      <w:szCs w:val="27"/>
      <w:bdr w:val="none" w:sz="0" w:space="0" w:color="auto"/>
      <w:lang w:val="it-IT"/>
    </w:rPr>
  </w:style>
  <w:style w:type="character" w:styleId="Menzionenonrisolta">
    <w:name w:val="Unresolved Mention"/>
    <w:basedOn w:val="Carpredefinitoparagrafo"/>
    <w:uiPriority w:val="99"/>
    <w:semiHidden/>
    <w:unhideWhenUsed/>
    <w:rsid w:val="00A63A0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273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8CDA95-D94B-4A66-83D5-971C3CF54D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566</Words>
  <Characters>3230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Patrizia Menicucci</dc:creator>
  <cp:lastModifiedBy>Mondo Macchina</cp:lastModifiedBy>
  <cp:revision>2</cp:revision>
  <dcterms:created xsi:type="dcterms:W3CDTF">2020-11-13T18:06:00Z</dcterms:created>
  <dcterms:modified xsi:type="dcterms:W3CDTF">2020-11-13T18:06:00Z</dcterms:modified>
</cp:coreProperties>
</file>